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/>
    <w:p>
      <w:pPr/>
      <w:r>
        <w:rPr>
          <w:rFonts w:ascii="Calibri" w:hAnsi="Calibri" w:eastAsia="Calibri" w:cs="Calibri"/>
          <w:sz w:val="22"/>
          <w:szCs w:val="22"/>
          <w:b w:val="1"/>
          <w:bCs w:val="1"/>
        </w:rPr>
        <w:t xml:space="preserve">Mechanical shower panel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Mechanical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Top inlet, fixed shower head, aluminium</w:t>
      </w:r>
    </w:p>
    <w:p/>
    <w:p>
      <w:pPr/>
      <w:r>
        <w:rPr>
          <w:rFonts w:ascii="Calibri" w:hAnsi="Calibri" w:eastAsia="Calibri" w:cs="Calibri"/>
          <w:sz w:val="22"/>
          <w:szCs w:val="22"/>
        </w:rPr>
        <w:t xml:space="preserve">Reference: </w:t>
      </w:r>
      <w:r>
        <w:rPr>
          <w:rFonts w:ascii="Calibri" w:hAnsi="Calibri" w:eastAsia="Calibri" w:cs="Calibri"/>
          <w:color w:val="0088bc"/>
          <w:sz w:val="22"/>
          <w:szCs w:val="22"/>
          <w:b w:val="1"/>
          <w:bCs w:val="1"/>
        </w:rPr>
        <w:t xml:space="preserve">791300</w:t>
      </w:r>
    </w:p>
    <w:p/>
    <w:p/>
    <w:p>
      <w:pPr>
        <w:spacing w:line="336" w:lineRule="auto"/>
      </w:pPr>
      <w:r>
        <w:rPr>
          <w:rFonts w:ascii="Calibri" w:hAnsi="Calibri" w:eastAsia="Calibri" w:cs="Calibri"/>
          <w:sz w:val="22"/>
          <w:szCs w:val="22"/>
          <w:u w:val="single"/>
        </w:rPr>
        <w:t xml:space="preserve">Specification description</w:t>
      </w:r>
    </w:p>
    <w:p/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Aluminium shower panel with single control mixer and fixed shower head: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Anodised aluminium shower panel for wall-mounted, exposed.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Top inlet via in-line stopcocks M½".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Mechanical mixer without time flow.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Flow rate 6 lpm at 3 bar.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Chrome-plated, tamperproof, scale-resistant ROUND shower head with automatic flow rate regulation.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Concealed fixings.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Filters.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Suitable for people with reduced mobility.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30-year warranty.</w:t>
      </w:r>
    </w:p>
    <w:sectPr>
      <w:headerReference w:type="default" r:id="rId7"/>
      <w:pgSz w:orient="portrait" w:w="11905.511811023622" w:h="16837.79527559055"/>
      <w:pgMar w:top="1200" w:right="1500" w:bottom="1000" w:left="14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pict>
        <v:shape type="#_x0000_t75" stroked="f" style="width:115pt; height:18.662280701754pt; margin-left:0pt; margin-top:0pt; mso-position-horizontal:left; mso-position-vertical:absolute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color w:val="438fac"/>
      <w:sz w:val="36"/>
      <w:szCs w:val="36"/>
      <w:b w:val="1"/>
      <w:bCs w:val="1"/>
    </w:rPr>
  </w:style>
  <w:style w:type="paragraph" w:styleId="Heading2">
    <w:link w:val="Heading2Char"/>
    <w:name w:val="heading 2"/>
    <w:rPr>
      <w:color w:val="222222"/>
      <w:sz w:val="32"/>
      <w:szCs w:val="32"/>
      <w:b w:val="1"/>
      <w:bCs w:val="1"/>
    </w:rPr>
  </w:style>
  <w:style w:type="paragraph" w:styleId="Heading3">
    <w:link w:val="Heading3Char"/>
    <w:name w:val="heading 3"/>
    <w:rPr>
      <w:color w:val="222222"/>
      <w:sz w:val="28"/>
      <w:szCs w:val="28"/>
      <w:b w:val="0"/>
      <w:bCs w:val="0"/>
    </w:rPr>
  </w:style>
  <w:style w:type="paragraph" w:styleId="Heading4">
    <w:link w:val="Heading4Char"/>
    <w:name w:val="heading 4"/>
    <w:rPr>
      <w:color w:val="438fac"/>
      <w:sz w:val="26"/>
      <w:szCs w:val="26"/>
      <w:b w:val="1"/>
      <w:bCs w:val="1"/>
    </w:rPr>
  </w:style>
  <w:style w:type="paragraph" w:styleId="Heading5">
    <w:link w:val="Heading5Char"/>
    <w:name w:val="heading 5"/>
    <w:rPr>
      <w:color w:val="111111"/>
      <w:sz w:val="40"/>
      <w:szCs w:val="40"/>
      <w:b w:val="1"/>
      <w:bCs w:val="1"/>
    </w:rPr>
  </w:style>
  <w:style w:type="table" w:customStyle="1" w:styleId="TechSheet">
    <w:name w:val="TechSheet"/>
    <w:uiPriority w:val="99"/>
    <w:tblPr>
      <w:tblW w:w="0" w:type="auto"/>
      <w:tblLayout w:type="autofit"/>
      <w:bidiVisual w:val="0"/>
      <w:tblBorders>
        <w:top w:val="single" w:sz="0" w:color="ffffff"/>
        <w:left w:val="single" w:sz="0" w:color="ffffff"/>
        <w:right w:val="single" w:sz="0" w:color="ffffff"/>
        <w:bottom w:val="single" w:sz="1" w:color="999999"/>
      </w:tblBorders>
    </w:tblPr>
  </w:style>
  <w:style w:type="paragraph" w:customStyle="1" w:styleId="pStyle">
    <w:name w:val="pStyle"/>
    <w:basedOn w:val="Normal"/>
    <w:pPr>
      <w:spacing w:line="3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2026-08-25T12:59:15+02:00</dcterms:created>
  <dcterms:modified xsi:type="dcterms:W3CDTF">2026-08-25T12:59:15+02:00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